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ED" w:rsidRPr="00B81EED" w:rsidRDefault="00B81EED">
      <w:pPr>
        <w:rPr>
          <w:sz w:val="32"/>
          <w:szCs w:val="32"/>
        </w:rPr>
      </w:pPr>
      <w:r>
        <w:rPr>
          <w:b/>
          <w:sz w:val="36"/>
          <w:szCs w:val="36"/>
        </w:rPr>
        <w:t xml:space="preserve">UEF K3SM030 </w:t>
      </w:r>
      <w:r w:rsidR="00A507E6">
        <w:t xml:space="preserve">: </w:t>
      </w:r>
      <w:r w:rsidRPr="00B81EED">
        <w:rPr>
          <w:b/>
          <w:sz w:val="40"/>
          <w:szCs w:val="40"/>
        </w:rPr>
        <w:t>Santé Publique</w:t>
      </w:r>
    </w:p>
    <w:p w:rsidR="00A507E6" w:rsidRDefault="00B81EED" w:rsidP="00B81EED">
      <w:pPr>
        <w:spacing w:after="0" w:line="240" w:lineRule="auto"/>
        <w:rPr>
          <w:b/>
          <w:sz w:val="36"/>
          <w:szCs w:val="36"/>
        </w:rPr>
      </w:pPr>
      <w:r w:rsidRPr="00B81EED">
        <w:rPr>
          <w:b/>
          <w:sz w:val="32"/>
          <w:szCs w:val="32"/>
        </w:rPr>
        <w:t>EC</w:t>
      </w:r>
      <w:r w:rsidR="00A507E6">
        <w:tab/>
      </w:r>
      <w:r>
        <w:rPr>
          <w:b/>
          <w:sz w:val="36"/>
          <w:szCs w:val="36"/>
        </w:rPr>
        <w:t>K3SM031</w:t>
      </w:r>
      <w:r w:rsidR="00A507E6">
        <w:tab/>
      </w:r>
      <w:r>
        <w:t> </w:t>
      </w:r>
      <w:r w:rsidRPr="00B81EED">
        <w:rPr>
          <w:b/>
          <w:sz w:val="32"/>
          <w:szCs w:val="32"/>
        </w:rPr>
        <w:t>Epidémiologie, Santé publique, Economie de santé</w:t>
      </w:r>
      <w:r>
        <w:t> </w:t>
      </w:r>
      <w:r>
        <w:tab/>
      </w:r>
      <w:r>
        <w:rPr>
          <w:b/>
          <w:sz w:val="36"/>
          <w:szCs w:val="36"/>
        </w:rPr>
        <w:t>K3SM032 Sémiologie générale</w:t>
      </w:r>
    </w:p>
    <w:p w:rsidR="00B81EED" w:rsidRDefault="00B81EED" w:rsidP="00B81EED">
      <w:pPr>
        <w:spacing w:after="0" w:line="240" w:lineRule="auto"/>
        <w:rPr>
          <w:b/>
          <w:sz w:val="36"/>
          <w:szCs w:val="36"/>
        </w:rPr>
      </w:pPr>
      <w:r>
        <w:rPr>
          <w:b/>
          <w:sz w:val="36"/>
          <w:szCs w:val="36"/>
        </w:rPr>
        <w:tab/>
        <w:t>K3SM033 Pharmacie clinique générale</w:t>
      </w:r>
    </w:p>
    <w:p w:rsidR="00B81EED" w:rsidRPr="00B81EED" w:rsidRDefault="00B81EED" w:rsidP="00B81EED">
      <w:pPr>
        <w:spacing w:after="0" w:line="240" w:lineRule="auto"/>
        <w:rPr>
          <w:b/>
          <w:sz w:val="36"/>
          <w:szCs w:val="36"/>
        </w:rPr>
      </w:pPr>
    </w:p>
    <w:p w:rsidR="00A507E6" w:rsidRDefault="00A507E6" w:rsidP="00B81EED">
      <w:pPr>
        <w:spacing w:after="0"/>
        <w:rPr>
          <w:b/>
          <w:sz w:val="28"/>
          <w:szCs w:val="28"/>
        </w:rPr>
      </w:pPr>
      <w:r w:rsidRPr="00B81EED">
        <w:rPr>
          <w:b/>
          <w:sz w:val="28"/>
          <w:szCs w:val="28"/>
        </w:rPr>
        <w:t>Responsable enseignement</w:t>
      </w:r>
      <w:r w:rsidR="00B81EED">
        <w:rPr>
          <w:b/>
          <w:sz w:val="28"/>
          <w:szCs w:val="28"/>
        </w:rPr>
        <w:t xml:space="preserve"> : </w:t>
      </w:r>
      <w:r w:rsidRPr="00B81EED">
        <w:rPr>
          <w:b/>
          <w:sz w:val="28"/>
          <w:szCs w:val="28"/>
        </w:rPr>
        <w:t>Françoise BALLEREAU</w:t>
      </w:r>
    </w:p>
    <w:p w:rsidR="00B81EED" w:rsidRPr="00B81EED" w:rsidRDefault="00B81EED" w:rsidP="00B81EED">
      <w:pPr>
        <w:spacing w:after="0"/>
        <w:rPr>
          <w:b/>
          <w:sz w:val="28"/>
          <w:szCs w:val="28"/>
        </w:rPr>
      </w:pPr>
    </w:p>
    <w:p w:rsidR="00A507E6" w:rsidRPr="00B81EED" w:rsidRDefault="00A507E6">
      <w:pPr>
        <w:rPr>
          <w:b/>
          <w:sz w:val="28"/>
          <w:szCs w:val="28"/>
        </w:rPr>
      </w:pPr>
      <w:r w:rsidRPr="00691FFE">
        <w:rPr>
          <w:b/>
          <w:sz w:val="24"/>
          <w:szCs w:val="24"/>
        </w:rPr>
        <w:t>Répartition des heures d’enseignement</w:t>
      </w:r>
      <w:r w:rsidR="00B81EED">
        <w:rPr>
          <w:b/>
          <w:sz w:val="24"/>
          <w:szCs w:val="24"/>
        </w:rPr>
        <w:tab/>
      </w:r>
      <w:r w:rsidR="00B81EED">
        <w:rPr>
          <w:b/>
          <w:sz w:val="24"/>
          <w:szCs w:val="24"/>
        </w:rPr>
        <w:tab/>
      </w:r>
      <w:r w:rsidR="00B81EED">
        <w:rPr>
          <w:b/>
          <w:sz w:val="24"/>
          <w:szCs w:val="24"/>
        </w:rPr>
        <w:tab/>
      </w:r>
      <w:r w:rsidR="00B81EED">
        <w:rPr>
          <w:b/>
          <w:sz w:val="24"/>
          <w:szCs w:val="24"/>
        </w:rPr>
        <w:tab/>
      </w:r>
      <w:r w:rsidR="00B81EED">
        <w:rPr>
          <w:b/>
          <w:sz w:val="24"/>
          <w:szCs w:val="24"/>
        </w:rPr>
        <w:tab/>
      </w:r>
      <w:r w:rsidR="00B81EED">
        <w:rPr>
          <w:b/>
          <w:sz w:val="24"/>
          <w:szCs w:val="24"/>
        </w:rPr>
        <w:tab/>
      </w:r>
      <w:r w:rsidR="00B81EED" w:rsidRPr="00B81EED">
        <w:rPr>
          <w:b/>
          <w:sz w:val="28"/>
          <w:szCs w:val="28"/>
        </w:rPr>
        <w:t>ECTS  3</w:t>
      </w:r>
    </w:p>
    <w:tbl>
      <w:tblPr>
        <w:tblW w:w="0" w:type="auto"/>
        <w:tblBorders>
          <w:top w:val="single" w:sz="8" w:space="0" w:color="4F81BD"/>
          <w:bottom w:val="single" w:sz="8" w:space="0" w:color="4F81BD"/>
        </w:tblBorders>
        <w:tblLook w:val="04A0"/>
      </w:tblPr>
      <w:tblGrid>
        <w:gridCol w:w="917"/>
        <w:gridCol w:w="906"/>
        <w:gridCol w:w="911"/>
        <w:gridCol w:w="911"/>
        <w:gridCol w:w="906"/>
        <w:gridCol w:w="906"/>
        <w:gridCol w:w="1111"/>
        <w:gridCol w:w="906"/>
        <w:gridCol w:w="907"/>
        <w:gridCol w:w="907"/>
      </w:tblGrid>
      <w:tr w:rsidR="00C21936" w:rsidRPr="000F5B11">
        <w:trPr>
          <w:trHeight w:val="245"/>
        </w:trPr>
        <w:tc>
          <w:tcPr>
            <w:tcW w:w="1823" w:type="dxa"/>
            <w:gridSpan w:val="2"/>
            <w:tcBorders>
              <w:top w:val="single" w:sz="8" w:space="0" w:color="4F81BD"/>
              <w:left w:val="nil"/>
              <w:bottom w:val="single" w:sz="8" w:space="0" w:color="4F81BD"/>
              <w:right w:val="nil"/>
            </w:tcBorders>
          </w:tcPr>
          <w:p w:rsidR="00A507E6" w:rsidRPr="000F5B11" w:rsidRDefault="00A507E6" w:rsidP="00C21936">
            <w:pPr>
              <w:spacing w:after="0" w:line="240" w:lineRule="auto"/>
              <w:rPr>
                <w:b/>
                <w:bCs/>
                <w:color w:val="365F91"/>
              </w:rPr>
            </w:pPr>
            <w:r w:rsidRPr="000F5B11">
              <w:rPr>
                <w:b/>
                <w:bCs/>
                <w:color w:val="365F91"/>
              </w:rPr>
              <w:t xml:space="preserve">CM      </w:t>
            </w:r>
            <w:r>
              <w:rPr>
                <w:b/>
                <w:bCs/>
                <w:color w:val="365F91"/>
              </w:rPr>
              <w:t xml:space="preserve">  30 </w:t>
            </w:r>
            <w:r w:rsidRPr="000F5B11">
              <w:rPr>
                <w:b/>
                <w:bCs/>
                <w:color w:val="365F91"/>
              </w:rPr>
              <w:t>h</w:t>
            </w:r>
            <w:r w:rsidRPr="000F5B11">
              <w:rPr>
                <w:b/>
                <w:bCs/>
                <w:color w:val="365F91"/>
              </w:rPr>
              <w:tab/>
              <w:t xml:space="preserve">    </w:t>
            </w:r>
          </w:p>
        </w:tc>
        <w:tc>
          <w:tcPr>
            <w:tcW w:w="1822" w:type="dxa"/>
            <w:gridSpan w:val="2"/>
            <w:tcBorders>
              <w:top w:val="single" w:sz="8" w:space="0" w:color="4F81BD"/>
              <w:left w:val="nil"/>
              <w:bottom w:val="single" w:sz="8" w:space="0" w:color="4F81BD"/>
              <w:right w:val="nil"/>
            </w:tcBorders>
          </w:tcPr>
          <w:p w:rsidR="00C21936" w:rsidRPr="000F5B11" w:rsidRDefault="00C21936" w:rsidP="00C21936">
            <w:pPr>
              <w:spacing w:after="0" w:line="240" w:lineRule="auto"/>
              <w:rPr>
                <w:b/>
                <w:bCs/>
                <w:color w:val="365F91"/>
              </w:rPr>
            </w:pPr>
            <w:r>
              <w:rPr>
                <w:b/>
                <w:bCs/>
                <w:color w:val="365F91"/>
              </w:rPr>
              <w:t xml:space="preserve">ED      </w:t>
            </w:r>
            <w:r w:rsidRPr="000F5B11">
              <w:rPr>
                <w:b/>
                <w:bCs/>
                <w:color w:val="365F91"/>
              </w:rPr>
              <w:t xml:space="preserve">         h</w:t>
            </w:r>
          </w:p>
        </w:tc>
        <w:tc>
          <w:tcPr>
            <w:tcW w:w="1812" w:type="dxa"/>
            <w:gridSpan w:val="2"/>
            <w:tcBorders>
              <w:top w:val="single" w:sz="8" w:space="0" w:color="4F81BD"/>
              <w:left w:val="nil"/>
              <w:bottom w:val="single" w:sz="8" w:space="0" w:color="4F81BD"/>
              <w:right w:val="nil"/>
            </w:tcBorders>
          </w:tcPr>
          <w:p w:rsidR="00C21936" w:rsidRPr="000F5B11" w:rsidRDefault="00C21936" w:rsidP="00C21936">
            <w:pPr>
              <w:spacing w:after="0" w:line="240" w:lineRule="auto"/>
              <w:rPr>
                <w:b/>
                <w:bCs/>
                <w:color w:val="365F91"/>
              </w:rPr>
            </w:pPr>
            <w:r>
              <w:rPr>
                <w:b/>
                <w:bCs/>
                <w:color w:val="365F91"/>
              </w:rPr>
              <w:t xml:space="preserve">TP      </w:t>
            </w:r>
            <w:r w:rsidRPr="000F5B11">
              <w:rPr>
                <w:b/>
                <w:bCs/>
                <w:color w:val="365F91"/>
              </w:rPr>
              <w:t xml:space="preserve">          h</w:t>
            </w:r>
          </w:p>
        </w:tc>
        <w:tc>
          <w:tcPr>
            <w:tcW w:w="2017" w:type="dxa"/>
            <w:gridSpan w:val="2"/>
            <w:tcBorders>
              <w:top w:val="single" w:sz="8" w:space="0" w:color="4F81BD"/>
              <w:left w:val="nil"/>
              <w:bottom w:val="single" w:sz="8" w:space="0" w:color="4F81BD"/>
              <w:right w:val="nil"/>
            </w:tcBorders>
          </w:tcPr>
          <w:p w:rsidR="00C21936" w:rsidRPr="000F5B11" w:rsidRDefault="00C21936" w:rsidP="00C21936">
            <w:pPr>
              <w:spacing w:after="0" w:line="240" w:lineRule="auto"/>
              <w:rPr>
                <w:b/>
                <w:bCs/>
                <w:color w:val="365F91"/>
              </w:rPr>
            </w:pPr>
            <w:r w:rsidRPr="000F5B11">
              <w:rPr>
                <w:b/>
                <w:bCs/>
                <w:color w:val="365F91"/>
              </w:rPr>
              <w:t>travail personnel :</w:t>
            </w:r>
            <w:r w:rsidRPr="000F5B11">
              <w:rPr>
                <w:b/>
                <w:bCs/>
                <w:color w:val="365F91"/>
              </w:rPr>
              <w:tab/>
            </w:r>
          </w:p>
        </w:tc>
        <w:tc>
          <w:tcPr>
            <w:tcW w:w="1814" w:type="dxa"/>
            <w:gridSpan w:val="2"/>
            <w:tcBorders>
              <w:top w:val="single" w:sz="8" w:space="0" w:color="4F81BD"/>
              <w:left w:val="nil"/>
              <w:bottom w:val="single" w:sz="8" w:space="0" w:color="4F81BD"/>
              <w:right w:val="nil"/>
            </w:tcBorders>
          </w:tcPr>
          <w:p w:rsidR="00C21936" w:rsidRPr="000F5B11" w:rsidRDefault="00C21936" w:rsidP="00C21936">
            <w:pPr>
              <w:spacing w:after="0" w:line="240" w:lineRule="auto"/>
              <w:rPr>
                <w:b/>
                <w:bCs/>
                <w:color w:val="365F91"/>
              </w:rPr>
            </w:pPr>
            <w:r>
              <w:rPr>
                <w:b/>
                <w:bCs/>
                <w:color w:val="365F91"/>
              </w:rPr>
              <w:t xml:space="preserve">    </w:t>
            </w:r>
            <w:r w:rsidRPr="000F5B11">
              <w:rPr>
                <w:b/>
                <w:bCs/>
                <w:color w:val="365F91"/>
              </w:rPr>
              <w:t xml:space="preserve">    </w:t>
            </w:r>
            <w:r>
              <w:rPr>
                <w:b/>
                <w:bCs/>
                <w:color w:val="365F91"/>
              </w:rPr>
              <w:t xml:space="preserve">10 </w:t>
            </w:r>
            <w:r w:rsidRPr="000F5B11">
              <w:rPr>
                <w:b/>
                <w:bCs/>
                <w:color w:val="365F91"/>
              </w:rPr>
              <w:t>h</w:t>
            </w:r>
          </w:p>
        </w:tc>
      </w:tr>
      <w:tr w:rsidR="00C21936" w:rsidRPr="000F5B11">
        <w:trPr>
          <w:trHeight w:val="110"/>
        </w:trPr>
        <w:tc>
          <w:tcPr>
            <w:tcW w:w="917" w:type="dxa"/>
            <w:tcBorders>
              <w:left w:val="nil"/>
              <w:right w:val="nil"/>
            </w:tcBorders>
            <w:shd w:val="clear" w:color="auto" w:fill="D3DFEE"/>
          </w:tcPr>
          <w:p w:rsidR="00C21936" w:rsidRPr="000F5B11" w:rsidRDefault="00C21936" w:rsidP="00C21936">
            <w:pPr>
              <w:spacing w:after="0" w:line="240" w:lineRule="auto"/>
              <w:rPr>
                <w:b/>
                <w:bCs/>
                <w:color w:val="365F91"/>
              </w:rPr>
            </w:pPr>
          </w:p>
        </w:tc>
        <w:tc>
          <w:tcPr>
            <w:tcW w:w="906" w:type="dxa"/>
            <w:tcBorders>
              <w:left w:val="nil"/>
              <w:right w:val="nil"/>
            </w:tcBorders>
            <w:shd w:val="clear" w:color="auto" w:fill="D3DFEE"/>
          </w:tcPr>
          <w:p w:rsidR="00C21936" w:rsidRPr="000F5B11" w:rsidRDefault="00C21936" w:rsidP="00C21936">
            <w:pPr>
              <w:spacing w:after="0" w:line="240" w:lineRule="auto"/>
              <w:rPr>
                <w:color w:val="365F91"/>
              </w:rPr>
            </w:pPr>
          </w:p>
        </w:tc>
        <w:tc>
          <w:tcPr>
            <w:tcW w:w="911" w:type="dxa"/>
            <w:tcBorders>
              <w:left w:val="nil"/>
              <w:right w:val="nil"/>
            </w:tcBorders>
            <w:shd w:val="clear" w:color="auto" w:fill="D3DFEE"/>
          </w:tcPr>
          <w:p w:rsidR="00C21936" w:rsidRPr="000F5B11" w:rsidRDefault="00C21936" w:rsidP="00C21936">
            <w:pPr>
              <w:spacing w:after="0" w:line="240" w:lineRule="auto"/>
              <w:rPr>
                <w:color w:val="365F91"/>
              </w:rPr>
            </w:pPr>
          </w:p>
        </w:tc>
        <w:tc>
          <w:tcPr>
            <w:tcW w:w="911" w:type="dxa"/>
            <w:tcBorders>
              <w:left w:val="nil"/>
              <w:right w:val="nil"/>
            </w:tcBorders>
            <w:shd w:val="clear" w:color="auto" w:fill="D3DFEE"/>
          </w:tcPr>
          <w:p w:rsidR="00C21936" w:rsidRPr="000F5B11" w:rsidRDefault="00C21936" w:rsidP="00C21936">
            <w:pPr>
              <w:spacing w:after="0" w:line="240" w:lineRule="auto"/>
              <w:rPr>
                <w:color w:val="365F91"/>
              </w:rPr>
            </w:pPr>
          </w:p>
        </w:tc>
        <w:tc>
          <w:tcPr>
            <w:tcW w:w="906" w:type="dxa"/>
            <w:tcBorders>
              <w:left w:val="nil"/>
              <w:right w:val="nil"/>
            </w:tcBorders>
            <w:shd w:val="clear" w:color="auto" w:fill="D3DFEE"/>
          </w:tcPr>
          <w:p w:rsidR="00C21936" w:rsidRPr="000F5B11" w:rsidRDefault="00C21936" w:rsidP="00C21936">
            <w:pPr>
              <w:spacing w:after="0" w:line="240" w:lineRule="auto"/>
              <w:rPr>
                <w:color w:val="365F91"/>
              </w:rPr>
            </w:pPr>
          </w:p>
        </w:tc>
        <w:tc>
          <w:tcPr>
            <w:tcW w:w="906" w:type="dxa"/>
            <w:tcBorders>
              <w:left w:val="nil"/>
              <w:right w:val="nil"/>
            </w:tcBorders>
            <w:shd w:val="clear" w:color="auto" w:fill="D3DFEE"/>
          </w:tcPr>
          <w:p w:rsidR="00C21936" w:rsidRPr="000F5B11" w:rsidRDefault="00C21936" w:rsidP="00C21936">
            <w:pPr>
              <w:spacing w:after="0" w:line="240" w:lineRule="auto"/>
              <w:rPr>
                <w:color w:val="365F91"/>
              </w:rPr>
            </w:pPr>
          </w:p>
        </w:tc>
        <w:tc>
          <w:tcPr>
            <w:tcW w:w="1111" w:type="dxa"/>
            <w:tcBorders>
              <w:left w:val="nil"/>
              <w:right w:val="nil"/>
            </w:tcBorders>
            <w:shd w:val="clear" w:color="auto" w:fill="D3DFEE"/>
          </w:tcPr>
          <w:p w:rsidR="00C21936" w:rsidRPr="000F5B11" w:rsidRDefault="00C21936" w:rsidP="00C21936">
            <w:pPr>
              <w:spacing w:after="0" w:line="240" w:lineRule="auto"/>
              <w:rPr>
                <w:color w:val="365F91"/>
              </w:rPr>
            </w:pPr>
          </w:p>
        </w:tc>
        <w:tc>
          <w:tcPr>
            <w:tcW w:w="906" w:type="dxa"/>
            <w:tcBorders>
              <w:left w:val="nil"/>
              <w:right w:val="nil"/>
            </w:tcBorders>
            <w:shd w:val="clear" w:color="auto" w:fill="D3DFEE"/>
          </w:tcPr>
          <w:p w:rsidR="00C21936" w:rsidRPr="000F5B11" w:rsidRDefault="00C21936" w:rsidP="00C21936">
            <w:pPr>
              <w:spacing w:after="0" w:line="240" w:lineRule="auto"/>
              <w:rPr>
                <w:color w:val="365F91"/>
              </w:rPr>
            </w:pPr>
          </w:p>
        </w:tc>
        <w:tc>
          <w:tcPr>
            <w:tcW w:w="907" w:type="dxa"/>
            <w:tcBorders>
              <w:left w:val="nil"/>
              <w:right w:val="nil"/>
            </w:tcBorders>
            <w:shd w:val="clear" w:color="auto" w:fill="D3DFEE"/>
          </w:tcPr>
          <w:p w:rsidR="00C21936" w:rsidRPr="000F5B11" w:rsidRDefault="00C21936" w:rsidP="00C21936">
            <w:pPr>
              <w:spacing w:after="0" w:line="240" w:lineRule="auto"/>
              <w:rPr>
                <w:color w:val="365F91"/>
              </w:rPr>
            </w:pPr>
          </w:p>
        </w:tc>
        <w:tc>
          <w:tcPr>
            <w:tcW w:w="907" w:type="dxa"/>
            <w:tcBorders>
              <w:left w:val="nil"/>
              <w:right w:val="nil"/>
            </w:tcBorders>
            <w:shd w:val="clear" w:color="auto" w:fill="D3DFEE"/>
          </w:tcPr>
          <w:p w:rsidR="00C21936" w:rsidRPr="000F5B11" w:rsidRDefault="00C21936" w:rsidP="00C21936">
            <w:pPr>
              <w:spacing w:after="0" w:line="240" w:lineRule="auto"/>
              <w:rPr>
                <w:color w:val="365F91"/>
              </w:rPr>
            </w:pPr>
          </w:p>
        </w:tc>
      </w:tr>
    </w:tbl>
    <w:p w:rsidR="00C21936" w:rsidRPr="00590D1E" w:rsidRDefault="00C21936">
      <w:r>
        <w:tab/>
      </w:r>
      <w:r w:rsidRPr="00590D1E">
        <w:t xml:space="preserve"> </w:t>
      </w:r>
    </w:p>
    <w:p w:rsidR="00C21936" w:rsidRDefault="00C21936">
      <w:pPr>
        <w:rPr>
          <w:b/>
          <w:sz w:val="24"/>
          <w:szCs w:val="24"/>
        </w:rPr>
      </w:pPr>
      <w:r w:rsidRPr="00691FFE">
        <w:rPr>
          <w:b/>
          <w:sz w:val="24"/>
          <w:szCs w:val="24"/>
        </w:rPr>
        <w:t>Objectifs pédagogiques :</w:t>
      </w:r>
      <w:r>
        <w:rPr>
          <w:b/>
          <w:sz w:val="24"/>
          <w:szCs w:val="24"/>
        </w:rPr>
        <w:t xml:space="preserve"> </w:t>
      </w:r>
      <w:r w:rsidRPr="00B81EED">
        <w:rPr>
          <w:sz w:val="24"/>
          <w:szCs w:val="24"/>
        </w:rPr>
        <w:t>Familiariser les étudiants avec la démarche épidémiologique. Comprendre le système de surveillance épidémiologique et de gestion des risques sanitaires mis en place en France. Connaître l’état de santé de la population française et appréhender la place du pharmacien dans la prise en charge des grands problèmes de santé en France. Comprendre la pharmaco-économie. Initier les étudiants à la sémiologie</w:t>
      </w:r>
      <w:r w:rsidR="00B40CE6">
        <w:rPr>
          <w:sz w:val="24"/>
          <w:szCs w:val="24"/>
        </w:rPr>
        <w:t> ;</w:t>
      </w:r>
    </w:p>
    <w:p w:rsidR="00C21936" w:rsidRDefault="00C21936">
      <w:pPr>
        <w:rPr>
          <w:b/>
          <w:sz w:val="24"/>
          <w:szCs w:val="24"/>
        </w:rPr>
      </w:pPr>
      <w:r w:rsidRPr="00691FFE">
        <w:rPr>
          <w:b/>
          <w:sz w:val="24"/>
          <w:szCs w:val="24"/>
        </w:rPr>
        <w:t>Descriptifs des enseignements, des intervenants et découpage horaire</w:t>
      </w:r>
    </w:p>
    <w:p w:rsidR="00C21936" w:rsidRPr="00B81EED" w:rsidRDefault="00C21936">
      <w:pPr>
        <w:rPr>
          <w:sz w:val="24"/>
          <w:szCs w:val="24"/>
        </w:rPr>
      </w:pPr>
      <w:r w:rsidRPr="00283874">
        <w:rPr>
          <w:b/>
          <w:sz w:val="24"/>
          <w:szCs w:val="24"/>
          <w:u w:val="single"/>
        </w:rPr>
        <w:t>Epidémiologie</w:t>
      </w:r>
      <w:r>
        <w:rPr>
          <w:b/>
          <w:sz w:val="24"/>
          <w:szCs w:val="24"/>
        </w:rPr>
        <w:t xml:space="preserve"> (8h): </w:t>
      </w:r>
      <w:r w:rsidRPr="00B81EED">
        <w:rPr>
          <w:sz w:val="24"/>
          <w:szCs w:val="24"/>
        </w:rPr>
        <w:t>La démarche épidémiologique. Mesure en santé. Les outils. Réaliser une enquête. La surveillance épidémiologique et la gestion des risques sanitaires en France. Dépistage. Prévention. Education pour la santé. Education thérapeutique.</w:t>
      </w:r>
    </w:p>
    <w:p w:rsidR="00C21936" w:rsidRPr="00B81EED" w:rsidRDefault="00C21936" w:rsidP="00C21936">
      <w:pPr>
        <w:spacing w:after="0" w:line="240" w:lineRule="auto"/>
        <w:rPr>
          <w:sz w:val="24"/>
          <w:szCs w:val="24"/>
        </w:rPr>
      </w:pPr>
      <w:r w:rsidRPr="00283874">
        <w:rPr>
          <w:b/>
          <w:sz w:val="24"/>
          <w:szCs w:val="24"/>
          <w:u w:val="single"/>
        </w:rPr>
        <w:t>Santé publique </w:t>
      </w:r>
      <w:r w:rsidRPr="006D2CB0">
        <w:rPr>
          <w:b/>
          <w:sz w:val="24"/>
          <w:szCs w:val="24"/>
        </w:rPr>
        <w:t>(9</w:t>
      </w:r>
      <w:r>
        <w:rPr>
          <w:b/>
          <w:sz w:val="24"/>
          <w:szCs w:val="24"/>
          <w:u w:val="single"/>
        </w:rPr>
        <w:t>)</w:t>
      </w:r>
      <w:r>
        <w:rPr>
          <w:b/>
          <w:sz w:val="24"/>
          <w:szCs w:val="24"/>
        </w:rPr>
        <w:t xml:space="preserve">: </w:t>
      </w:r>
      <w:r w:rsidRPr="00B81EED">
        <w:rPr>
          <w:sz w:val="24"/>
          <w:szCs w:val="24"/>
        </w:rPr>
        <w:t>la situation sanitaire en France</w:t>
      </w:r>
    </w:p>
    <w:p w:rsidR="00C21936" w:rsidRPr="00B81EED" w:rsidRDefault="00C21936" w:rsidP="00C21936">
      <w:pPr>
        <w:spacing w:after="0" w:line="240" w:lineRule="auto"/>
        <w:rPr>
          <w:sz w:val="24"/>
          <w:szCs w:val="24"/>
        </w:rPr>
      </w:pPr>
      <w:r w:rsidRPr="00B81EED">
        <w:rPr>
          <w:sz w:val="24"/>
          <w:szCs w:val="24"/>
        </w:rPr>
        <w:t>Les grands problèmes de santé publique : rôle du pharmacien</w:t>
      </w:r>
    </w:p>
    <w:p w:rsidR="00C21936" w:rsidRPr="00B81EED" w:rsidRDefault="00C21936" w:rsidP="00C21936">
      <w:pPr>
        <w:spacing w:after="0" w:line="240" w:lineRule="auto"/>
        <w:rPr>
          <w:sz w:val="24"/>
          <w:szCs w:val="24"/>
        </w:rPr>
      </w:pPr>
      <w:r w:rsidRPr="00B81EED">
        <w:rPr>
          <w:sz w:val="24"/>
          <w:szCs w:val="24"/>
        </w:rPr>
        <w:t>Le calendrier vaccinal</w:t>
      </w:r>
    </w:p>
    <w:p w:rsidR="00C21936" w:rsidRDefault="00C21936" w:rsidP="00C21936">
      <w:pPr>
        <w:spacing w:after="0"/>
        <w:rPr>
          <w:b/>
          <w:sz w:val="24"/>
          <w:szCs w:val="24"/>
        </w:rPr>
      </w:pPr>
    </w:p>
    <w:p w:rsidR="00C21936" w:rsidRPr="00B81EED" w:rsidRDefault="00C21936" w:rsidP="00C21936">
      <w:pPr>
        <w:spacing w:after="0"/>
        <w:rPr>
          <w:sz w:val="24"/>
          <w:szCs w:val="24"/>
        </w:rPr>
      </w:pPr>
      <w:r w:rsidRPr="00283874">
        <w:rPr>
          <w:b/>
          <w:sz w:val="24"/>
          <w:szCs w:val="24"/>
          <w:u w:val="single"/>
        </w:rPr>
        <w:t>Pharmaco-économie</w:t>
      </w:r>
      <w:r>
        <w:rPr>
          <w:b/>
          <w:sz w:val="24"/>
          <w:szCs w:val="24"/>
          <w:u w:val="single"/>
        </w:rPr>
        <w:t xml:space="preserve"> </w:t>
      </w:r>
      <w:r w:rsidRPr="006D2CB0">
        <w:rPr>
          <w:b/>
          <w:sz w:val="24"/>
          <w:szCs w:val="24"/>
        </w:rPr>
        <w:t>(3) </w:t>
      </w:r>
      <w:r>
        <w:rPr>
          <w:b/>
          <w:sz w:val="24"/>
          <w:szCs w:val="24"/>
        </w:rPr>
        <w:t xml:space="preserve">: </w:t>
      </w:r>
      <w:r w:rsidRPr="00B81EED">
        <w:rPr>
          <w:sz w:val="24"/>
          <w:szCs w:val="24"/>
        </w:rPr>
        <w:t>les modèles d’études pharmaco-économiques</w:t>
      </w:r>
    </w:p>
    <w:p w:rsidR="00C21936" w:rsidRPr="00B81EED" w:rsidRDefault="00C21936">
      <w:pPr>
        <w:rPr>
          <w:sz w:val="24"/>
          <w:szCs w:val="24"/>
        </w:rPr>
      </w:pPr>
      <w:r w:rsidRPr="00B81EED">
        <w:rPr>
          <w:sz w:val="24"/>
          <w:szCs w:val="24"/>
        </w:rPr>
        <w:t>Macro-économie de la santé</w:t>
      </w:r>
    </w:p>
    <w:p w:rsidR="00C21936" w:rsidRDefault="00C21936">
      <w:pPr>
        <w:rPr>
          <w:b/>
          <w:sz w:val="24"/>
          <w:szCs w:val="24"/>
        </w:rPr>
      </w:pPr>
      <w:r w:rsidRPr="006D2CB0">
        <w:rPr>
          <w:b/>
          <w:sz w:val="24"/>
          <w:szCs w:val="24"/>
          <w:u w:val="single"/>
        </w:rPr>
        <w:t>Sémiologie</w:t>
      </w:r>
      <w:r>
        <w:rPr>
          <w:b/>
          <w:sz w:val="24"/>
          <w:szCs w:val="24"/>
        </w:rPr>
        <w:t xml:space="preserve"> (10): </w:t>
      </w:r>
      <w:r w:rsidRPr="00B81EED">
        <w:rPr>
          <w:sz w:val="24"/>
          <w:szCs w:val="24"/>
        </w:rPr>
        <w:t>Sémiologie médicale, chirurgicale, pédiatrique, obstétricale</w:t>
      </w:r>
    </w:p>
    <w:p w:rsidR="00C21936" w:rsidRDefault="00C21936">
      <w:pPr>
        <w:rPr>
          <w:b/>
        </w:rPr>
      </w:pPr>
      <w:r w:rsidRPr="00691FFE">
        <w:rPr>
          <w:b/>
          <w:sz w:val="24"/>
          <w:szCs w:val="24"/>
        </w:rPr>
        <w:t>Modalités d’évaluation</w:t>
      </w:r>
      <w:r>
        <w:rPr>
          <w:b/>
          <w:sz w:val="24"/>
          <w:szCs w:val="24"/>
        </w:rPr>
        <w:t xml:space="preserve"> : </w:t>
      </w:r>
      <w:r w:rsidRPr="00B40CE6">
        <w:rPr>
          <w:sz w:val="24"/>
          <w:szCs w:val="24"/>
        </w:rPr>
        <w:t>examen final (CAC</w:t>
      </w:r>
      <w:r w:rsidR="00B81EED" w:rsidRPr="00B40CE6">
        <w:rPr>
          <w:sz w:val="24"/>
          <w:szCs w:val="24"/>
        </w:rPr>
        <w:t>)</w:t>
      </w:r>
    </w:p>
    <w:p w:rsidR="00C21936" w:rsidRPr="000E4ED8" w:rsidRDefault="00C21936">
      <w:pPr>
        <w:rPr>
          <w:sz w:val="24"/>
          <w:szCs w:val="24"/>
        </w:rPr>
      </w:pPr>
      <w:r w:rsidRPr="00691FFE">
        <w:rPr>
          <w:b/>
          <w:sz w:val="24"/>
          <w:szCs w:val="24"/>
        </w:rPr>
        <w:t xml:space="preserve">Pré-requis : </w:t>
      </w:r>
      <w:r w:rsidRPr="00B40CE6">
        <w:rPr>
          <w:sz w:val="24"/>
          <w:szCs w:val="24"/>
        </w:rPr>
        <w:t>cours de santé publique de L1</w:t>
      </w:r>
    </w:p>
    <w:sectPr w:rsidR="00C21936" w:rsidRPr="000E4ED8" w:rsidSect="00C219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1A5" w:rsidRDefault="003431A5" w:rsidP="00B81EED">
      <w:pPr>
        <w:spacing w:after="0" w:line="240" w:lineRule="auto"/>
      </w:pPr>
      <w:r>
        <w:separator/>
      </w:r>
    </w:p>
  </w:endnote>
  <w:endnote w:type="continuationSeparator" w:id="0">
    <w:p w:rsidR="003431A5" w:rsidRDefault="003431A5" w:rsidP="00B81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ED" w:rsidRDefault="00B81EED">
    <w:pPr>
      <w:pStyle w:val="Pieddepage"/>
    </w:pPr>
    <w:r>
      <w:t>02/05/2012</w:t>
    </w:r>
  </w:p>
  <w:p w:rsidR="00B81EED" w:rsidRDefault="00B81EE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1A5" w:rsidRDefault="003431A5" w:rsidP="00B81EED">
      <w:pPr>
        <w:spacing w:after="0" w:line="240" w:lineRule="auto"/>
      </w:pPr>
      <w:r>
        <w:separator/>
      </w:r>
    </w:p>
  </w:footnote>
  <w:footnote w:type="continuationSeparator" w:id="0">
    <w:p w:rsidR="003431A5" w:rsidRDefault="003431A5" w:rsidP="00B81E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E6" w:rsidRDefault="00B40CE6" w:rsidP="007916A2">
    <w:pPr>
      <w:pStyle w:val="En-tte"/>
      <w:tabs>
        <w:tab w:val="clear" w:pos="4536"/>
        <w:tab w:val="clear" w:pos="9072"/>
        <w:tab w:val="left" w:pos="7797"/>
      </w:tabs>
    </w:pPr>
    <w:r>
      <w:rPr>
        <w:noProof/>
        <w:lang w:eastAsia="fr-FR"/>
      </w:rPr>
      <w:pict>
        <v:shapetype id="_x0000_t202" coordsize="21600,21600" o:spt="202" path="m,l,21600r21600,l21600,xe">
          <v:stroke joinstyle="miter"/>
          <v:path gradientshapeok="t" o:connecttype="rect"/>
        </v:shapetype>
        <v:shape id="_x0000_s3074" type="#_x0000_t202" style="position:absolute;margin-left:432.35pt;margin-top:14.2pt;width:60.8pt;height:27.6pt;z-index:251661312" stroked="f">
          <v:textbox>
            <w:txbxContent>
              <w:p w:rsidR="00B40CE6" w:rsidRPr="004C5115" w:rsidRDefault="00B40CE6">
                <w:pPr>
                  <w:rPr>
                    <w:sz w:val="12"/>
                  </w:rPr>
                </w:pPr>
                <w:r w:rsidRPr="004C5115">
                  <w:rPr>
                    <w:sz w:val="16"/>
                  </w:rPr>
                  <w:t>Mise à jour le 17/01/2013</w:t>
                </w:r>
              </w:p>
            </w:txbxContent>
          </v:textbox>
        </v:shape>
      </w:pict>
    </w:r>
    <w:r>
      <w:rPr>
        <w:noProof/>
        <w:lang w:eastAsia="fr-FR"/>
      </w:rPr>
      <w:pict>
        <v:shape id="_x0000_s3073" type="#_x0000_t202" style="position:absolute;margin-left:303.15pt;margin-top:1.8pt;width:88.8pt;height:40pt;z-index:251660288" stroked="f">
          <v:textbox>
            <w:txbxContent>
              <w:p w:rsidR="00B40CE6" w:rsidRPr="007916A2" w:rsidRDefault="00B40CE6">
                <w:pPr>
                  <w:rPr>
                    <w:color w:val="17365D" w:themeColor="text2" w:themeShade="BF"/>
                    <w:sz w:val="18"/>
                  </w:rPr>
                </w:pPr>
                <w:r w:rsidRPr="007916A2">
                  <w:rPr>
                    <w:rFonts w:ascii="Arial" w:hAnsi="Arial" w:cs="Arial"/>
                    <w:noProof/>
                    <w:color w:val="17365D" w:themeColor="text2" w:themeShade="BF"/>
                    <w:sz w:val="16"/>
                    <w:lang w:eastAsia="fr-FR"/>
                  </w:rPr>
                  <w:t>UFR des Sciences Pharmaceutiques et Biologiques</w:t>
                </w:r>
              </w:p>
            </w:txbxContent>
          </v:textbox>
        </v:shape>
      </w:pict>
    </w:r>
    <w:r>
      <w:rPr>
        <w:noProof/>
        <w:lang w:eastAsia="fr-FR"/>
      </w:rPr>
      <w:drawing>
        <wp:inline distT="0" distB="0" distL="0" distR="0">
          <wp:extent cx="1017852" cy="552450"/>
          <wp:effectExtent l="19050" t="0" r="0" b="0"/>
          <wp:docPr id="1" name="Image 0" descr="logo un2011quadri_larg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2011quadri_larg100.png"/>
                  <pic:cNvPicPr/>
                </pic:nvPicPr>
                <pic:blipFill>
                  <a:blip r:embed="rId1"/>
                  <a:stretch>
                    <a:fillRect/>
                  </a:stretch>
                </pic:blipFill>
                <pic:spPr>
                  <a:xfrm>
                    <a:off x="0" y="0"/>
                    <a:ext cx="1018450" cy="552775"/>
                  </a:xfrm>
                  <a:prstGeom prst="rect">
                    <a:avLst/>
                  </a:prstGeom>
                </pic:spPr>
              </pic:pic>
            </a:graphicData>
          </a:graphic>
        </wp:inline>
      </w:drawing>
    </w:r>
    <w:r>
      <w:rPr>
        <w:noProof/>
        <w:lang w:eastAsia="fr-FR"/>
      </w:rPr>
      <w:t xml:space="preserve">  </w:t>
    </w:r>
    <w:r>
      <w:rPr>
        <w:noProof/>
        <w:lang w:eastAsia="fr-FR"/>
      </w:rPr>
      <w:tab/>
    </w:r>
    <w:r>
      <w:rPr>
        <w:noProof/>
        <w:lang w:eastAsia="fr-FR"/>
      </w:rPr>
      <w:drawing>
        <wp:inline distT="0" distB="0" distL="0" distR="0">
          <wp:extent cx="450056" cy="571500"/>
          <wp:effectExtent l="19050" t="0" r="7144" b="0"/>
          <wp:docPr id="5" name="Image 2" descr="Logo phar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arma-1.jpg"/>
                  <pic:cNvPicPr/>
                </pic:nvPicPr>
                <pic:blipFill>
                  <a:blip r:embed="rId2"/>
                  <a:stretch>
                    <a:fillRect/>
                  </a:stretch>
                </pic:blipFill>
                <pic:spPr>
                  <a:xfrm>
                    <a:off x="0" y="0"/>
                    <a:ext cx="450056" cy="571500"/>
                  </a:xfrm>
                  <a:prstGeom prst="rect">
                    <a:avLst/>
                  </a:prstGeom>
                </pic:spPr>
              </pic:pic>
            </a:graphicData>
          </a:graphic>
        </wp:inline>
      </w:drawing>
    </w:r>
  </w:p>
  <w:p w:rsidR="00B40CE6" w:rsidRDefault="00B40CE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590D1E"/>
    <w:rsid w:val="003431A5"/>
    <w:rsid w:val="008462DE"/>
    <w:rsid w:val="008F1E64"/>
    <w:rsid w:val="00A507E6"/>
    <w:rsid w:val="00B40CE6"/>
    <w:rsid w:val="00B81EED"/>
    <w:rsid w:val="00BC6959"/>
    <w:rsid w:val="00C219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1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84B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Ombrageclair">
    <w:name w:val="Light Shading"/>
    <w:basedOn w:val="TableauNormal"/>
    <w:uiPriority w:val="60"/>
    <w:rsid w:val="00684B6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itationintense">
    <w:name w:val="Intense Quote"/>
    <w:basedOn w:val="TableauNormal"/>
    <w:uiPriority w:val="60"/>
    <w:qFormat/>
    <w:rsid w:val="00684B6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moyenne3-Accent2">
    <w:name w:val="Medium Grid 3 Accent 2"/>
    <w:basedOn w:val="TableauNormal"/>
    <w:uiPriority w:val="60"/>
    <w:rsid w:val="00684B6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Grillemoyenne3-Accent3">
    <w:name w:val="Medium Grid 3 Accent 3"/>
    <w:basedOn w:val="TableauNormal"/>
    <w:uiPriority w:val="60"/>
    <w:rsid w:val="00684B6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Grillemoyenne3-Accent5">
    <w:name w:val="Medium Grid 3 Accent 5"/>
    <w:basedOn w:val="TableauNormal"/>
    <w:uiPriority w:val="60"/>
    <w:rsid w:val="00684B6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En-tte">
    <w:name w:val="header"/>
    <w:basedOn w:val="Normal"/>
    <w:link w:val="En-tteCar"/>
    <w:uiPriority w:val="99"/>
    <w:unhideWhenUsed/>
    <w:rsid w:val="00B81EED"/>
    <w:pPr>
      <w:tabs>
        <w:tab w:val="center" w:pos="4536"/>
        <w:tab w:val="right" w:pos="9072"/>
      </w:tabs>
    </w:pPr>
  </w:style>
  <w:style w:type="character" w:customStyle="1" w:styleId="En-tteCar">
    <w:name w:val="En-tête Car"/>
    <w:basedOn w:val="Policepardfaut"/>
    <w:link w:val="En-tte"/>
    <w:uiPriority w:val="99"/>
    <w:rsid w:val="00B81EED"/>
    <w:rPr>
      <w:sz w:val="22"/>
      <w:szCs w:val="22"/>
      <w:lang w:eastAsia="en-US"/>
    </w:rPr>
  </w:style>
  <w:style w:type="paragraph" w:styleId="Pieddepage">
    <w:name w:val="footer"/>
    <w:basedOn w:val="Normal"/>
    <w:link w:val="PieddepageCar"/>
    <w:uiPriority w:val="99"/>
    <w:unhideWhenUsed/>
    <w:rsid w:val="00B81EED"/>
    <w:pPr>
      <w:tabs>
        <w:tab w:val="center" w:pos="4536"/>
        <w:tab w:val="right" w:pos="9072"/>
      </w:tabs>
    </w:pPr>
  </w:style>
  <w:style w:type="character" w:customStyle="1" w:styleId="PieddepageCar">
    <w:name w:val="Pied de page Car"/>
    <w:basedOn w:val="Policepardfaut"/>
    <w:link w:val="Pieddepage"/>
    <w:uiPriority w:val="99"/>
    <w:rsid w:val="00B81EED"/>
    <w:rPr>
      <w:sz w:val="22"/>
      <w:szCs w:val="22"/>
      <w:lang w:eastAsia="en-US"/>
    </w:rPr>
  </w:style>
  <w:style w:type="paragraph" w:styleId="Textedebulles">
    <w:name w:val="Balloon Text"/>
    <w:basedOn w:val="Normal"/>
    <w:link w:val="TextedebullesCar"/>
    <w:uiPriority w:val="99"/>
    <w:semiHidden/>
    <w:unhideWhenUsed/>
    <w:rsid w:val="00B40C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0CE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1279</Characters>
  <Application>Microsoft Office Word</Application>
  <DocSecurity>0</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dc:creator>
  <cp:keywords/>
  <cp:lastModifiedBy> </cp:lastModifiedBy>
  <cp:revision>3</cp:revision>
  <cp:lastPrinted>2011-04-18T12:56:00Z</cp:lastPrinted>
  <dcterms:created xsi:type="dcterms:W3CDTF">2013-01-21T09:45:00Z</dcterms:created>
  <dcterms:modified xsi:type="dcterms:W3CDTF">2013-01-21T09:46:00Z</dcterms:modified>
</cp:coreProperties>
</file>