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F" w:rsidRDefault="00DF05AF">
      <w:pPr>
        <w:rPr>
          <w:b/>
          <w:sz w:val="36"/>
          <w:szCs w:val="36"/>
        </w:rPr>
      </w:pPr>
      <w:r>
        <w:rPr>
          <w:b/>
          <w:sz w:val="36"/>
          <w:szCs w:val="36"/>
        </w:rPr>
        <w:t>UEF 11 Sciences Biologiques III</w:t>
      </w:r>
    </w:p>
    <w:p w:rsidR="00717388" w:rsidRPr="00DF05AF" w:rsidRDefault="00717388">
      <w:pPr>
        <w:rPr>
          <w:b/>
          <w:sz w:val="36"/>
          <w:szCs w:val="36"/>
        </w:rPr>
      </w:pPr>
      <w:r w:rsidRPr="00691FFE">
        <w:tab/>
      </w:r>
      <w:r w:rsidR="00DF05AF">
        <w:tab/>
      </w:r>
      <w:r>
        <w:rPr>
          <w:sz w:val="36"/>
          <w:szCs w:val="36"/>
        </w:rPr>
        <w:t>IMMUNOLOGIE GENERALE</w:t>
      </w:r>
    </w:p>
    <w:p w:rsidR="00717388" w:rsidRDefault="00717388"/>
    <w:p w:rsidR="00717388" w:rsidRPr="00691FFE" w:rsidRDefault="00717388">
      <w:pPr>
        <w:rPr>
          <w:b/>
          <w:sz w:val="24"/>
          <w:szCs w:val="24"/>
        </w:rPr>
      </w:pPr>
      <w:r w:rsidRPr="00691FFE">
        <w:rPr>
          <w:b/>
          <w:sz w:val="24"/>
          <w:szCs w:val="24"/>
        </w:rPr>
        <w:t>Répartition des heures d’enseignement</w:t>
      </w:r>
    </w:p>
    <w:tbl>
      <w:tblPr>
        <w:tblW w:w="0" w:type="auto"/>
        <w:tblBorders>
          <w:top w:val="single" w:sz="8" w:space="0" w:color="4F81BD"/>
          <w:bottom w:val="single" w:sz="8" w:space="0" w:color="4F81BD"/>
        </w:tblBorders>
        <w:tblLook w:val="04A0"/>
      </w:tblPr>
      <w:tblGrid>
        <w:gridCol w:w="917"/>
        <w:gridCol w:w="906"/>
        <w:gridCol w:w="911"/>
        <w:gridCol w:w="911"/>
        <w:gridCol w:w="906"/>
        <w:gridCol w:w="906"/>
        <w:gridCol w:w="1111"/>
        <w:gridCol w:w="906"/>
        <w:gridCol w:w="907"/>
        <w:gridCol w:w="907"/>
      </w:tblGrid>
      <w:tr w:rsidR="004B5060" w:rsidRPr="000F5B11">
        <w:trPr>
          <w:trHeight w:val="245"/>
        </w:trPr>
        <w:tc>
          <w:tcPr>
            <w:tcW w:w="1823" w:type="dxa"/>
            <w:gridSpan w:val="2"/>
            <w:tcBorders>
              <w:top w:val="single" w:sz="8" w:space="0" w:color="4F81BD"/>
              <w:left w:val="nil"/>
              <w:bottom w:val="single" w:sz="8" w:space="0" w:color="4F81BD"/>
              <w:right w:val="nil"/>
            </w:tcBorders>
          </w:tcPr>
          <w:p w:rsidR="00717388" w:rsidRPr="000F5B11" w:rsidRDefault="00717388" w:rsidP="004B5060">
            <w:pPr>
              <w:spacing w:after="0" w:line="240" w:lineRule="auto"/>
              <w:rPr>
                <w:b/>
                <w:bCs/>
                <w:color w:val="365F91"/>
              </w:rPr>
            </w:pPr>
            <w:r w:rsidRPr="000F5B11">
              <w:rPr>
                <w:b/>
                <w:bCs/>
                <w:color w:val="365F91"/>
              </w:rPr>
              <w:t xml:space="preserve">CM      </w:t>
            </w:r>
            <w:r>
              <w:rPr>
                <w:b/>
                <w:bCs/>
                <w:color w:val="365F91"/>
              </w:rPr>
              <w:t xml:space="preserve">20  </w:t>
            </w:r>
            <w:r w:rsidRPr="000F5B11">
              <w:rPr>
                <w:b/>
                <w:bCs/>
                <w:color w:val="365F91"/>
              </w:rPr>
              <w:t>h</w:t>
            </w:r>
            <w:r w:rsidRPr="000F5B11">
              <w:rPr>
                <w:b/>
                <w:bCs/>
                <w:color w:val="365F91"/>
              </w:rPr>
              <w:tab/>
              <w:t xml:space="preserve">    </w:t>
            </w:r>
          </w:p>
        </w:tc>
        <w:tc>
          <w:tcPr>
            <w:tcW w:w="1822" w:type="dxa"/>
            <w:gridSpan w:val="2"/>
            <w:tcBorders>
              <w:top w:val="single" w:sz="8" w:space="0" w:color="4F81BD"/>
              <w:left w:val="nil"/>
              <w:bottom w:val="single" w:sz="8" w:space="0" w:color="4F81BD"/>
              <w:right w:val="nil"/>
            </w:tcBorders>
          </w:tcPr>
          <w:p w:rsidR="004B5060" w:rsidRPr="000F5B11" w:rsidRDefault="004B5060" w:rsidP="005F16D0">
            <w:pPr>
              <w:spacing w:after="0" w:line="240" w:lineRule="auto"/>
              <w:rPr>
                <w:b/>
                <w:bCs/>
                <w:color w:val="365F91"/>
              </w:rPr>
            </w:pPr>
            <w:r>
              <w:rPr>
                <w:b/>
                <w:bCs/>
                <w:color w:val="365F91"/>
              </w:rPr>
              <w:t xml:space="preserve">ED     </w:t>
            </w:r>
            <w:r w:rsidR="005F16D0">
              <w:rPr>
                <w:b/>
                <w:bCs/>
                <w:color w:val="365F91"/>
              </w:rPr>
              <w:t>6</w:t>
            </w:r>
            <w:r w:rsidRPr="000F5B11">
              <w:rPr>
                <w:b/>
                <w:bCs/>
                <w:color w:val="365F91"/>
              </w:rPr>
              <w:t xml:space="preserve">   h</w:t>
            </w:r>
          </w:p>
        </w:tc>
        <w:tc>
          <w:tcPr>
            <w:tcW w:w="1812" w:type="dxa"/>
            <w:gridSpan w:val="2"/>
            <w:tcBorders>
              <w:top w:val="single" w:sz="8" w:space="0" w:color="4F81BD"/>
              <w:left w:val="nil"/>
              <w:bottom w:val="single" w:sz="8" w:space="0" w:color="4F81BD"/>
              <w:right w:val="nil"/>
            </w:tcBorders>
          </w:tcPr>
          <w:p w:rsidR="004B5060" w:rsidRPr="000F5B11" w:rsidRDefault="004B5060" w:rsidP="004B5060">
            <w:pPr>
              <w:spacing w:after="0" w:line="240" w:lineRule="auto"/>
              <w:rPr>
                <w:b/>
                <w:bCs/>
                <w:color w:val="365F91"/>
              </w:rPr>
            </w:pPr>
            <w:r>
              <w:rPr>
                <w:b/>
                <w:bCs/>
                <w:color w:val="365F91"/>
              </w:rPr>
              <w:t xml:space="preserve">TP   6 </w:t>
            </w:r>
            <w:r w:rsidRPr="000F5B11">
              <w:rPr>
                <w:b/>
                <w:bCs/>
                <w:color w:val="365F91"/>
              </w:rPr>
              <w:t>h</w:t>
            </w:r>
          </w:p>
        </w:tc>
        <w:tc>
          <w:tcPr>
            <w:tcW w:w="2017" w:type="dxa"/>
            <w:gridSpan w:val="2"/>
            <w:tcBorders>
              <w:top w:val="single" w:sz="8" w:space="0" w:color="4F81BD"/>
              <w:left w:val="nil"/>
              <w:bottom w:val="single" w:sz="8" w:space="0" w:color="4F81BD"/>
              <w:right w:val="nil"/>
            </w:tcBorders>
          </w:tcPr>
          <w:p w:rsidR="004B5060" w:rsidRPr="000F5B11" w:rsidRDefault="004B5060" w:rsidP="004B5060">
            <w:pPr>
              <w:spacing w:after="0" w:line="240" w:lineRule="auto"/>
              <w:rPr>
                <w:b/>
                <w:bCs/>
                <w:color w:val="365F91"/>
              </w:rPr>
            </w:pPr>
            <w:r w:rsidRPr="000F5B11">
              <w:rPr>
                <w:b/>
                <w:bCs/>
                <w:color w:val="365F91"/>
              </w:rPr>
              <w:t xml:space="preserve">travail personnel : </w:t>
            </w:r>
            <w:r w:rsidRPr="000F5B11">
              <w:rPr>
                <w:b/>
                <w:bCs/>
                <w:color w:val="365F91"/>
              </w:rPr>
              <w:tab/>
            </w:r>
          </w:p>
        </w:tc>
        <w:tc>
          <w:tcPr>
            <w:tcW w:w="1814" w:type="dxa"/>
            <w:gridSpan w:val="2"/>
            <w:tcBorders>
              <w:top w:val="single" w:sz="8" w:space="0" w:color="4F81BD"/>
              <w:left w:val="nil"/>
              <w:bottom w:val="single" w:sz="8" w:space="0" w:color="4F81BD"/>
              <w:right w:val="nil"/>
            </w:tcBorders>
          </w:tcPr>
          <w:p w:rsidR="004B5060" w:rsidRPr="000F5B11" w:rsidRDefault="004B5060" w:rsidP="004B5060">
            <w:pPr>
              <w:spacing w:after="0" w:line="240" w:lineRule="auto"/>
              <w:rPr>
                <w:b/>
                <w:bCs/>
                <w:color w:val="365F91"/>
              </w:rPr>
            </w:pPr>
            <w:r>
              <w:rPr>
                <w:b/>
                <w:bCs/>
                <w:color w:val="365F91"/>
              </w:rPr>
              <w:t xml:space="preserve">    </w:t>
            </w:r>
            <w:r w:rsidRPr="000F5B11">
              <w:rPr>
                <w:b/>
                <w:bCs/>
                <w:color w:val="365F91"/>
              </w:rPr>
              <w:t xml:space="preserve">    h</w:t>
            </w:r>
          </w:p>
        </w:tc>
      </w:tr>
      <w:tr w:rsidR="004B5060" w:rsidRPr="000F5B11">
        <w:trPr>
          <w:trHeight w:val="110"/>
        </w:trPr>
        <w:tc>
          <w:tcPr>
            <w:tcW w:w="917" w:type="dxa"/>
            <w:tcBorders>
              <w:left w:val="nil"/>
              <w:right w:val="nil"/>
            </w:tcBorders>
            <w:shd w:val="clear" w:color="auto" w:fill="D3DFEE"/>
          </w:tcPr>
          <w:p w:rsidR="004B5060" w:rsidRPr="000F5B11" w:rsidRDefault="004B5060" w:rsidP="004B5060">
            <w:pPr>
              <w:spacing w:after="0" w:line="240" w:lineRule="auto"/>
              <w:rPr>
                <w:b/>
                <w:bCs/>
                <w:color w:val="365F91"/>
              </w:rPr>
            </w:pPr>
          </w:p>
        </w:tc>
        <w:tc>
          <w:tcPr>
            <w:tcW w:w="906" w:type="dxa"/>
            <w:tcBorders>
              <w:left w:val="nil"/>
              <w:right w:val="nil"/>
            </w:tcBorders>
            <w:shd w:val="clear" w:color="auto" w:fill="D3DFEE"/>
          </w:tcPr>
          <w:p w:rsidR="004B5060" w:rsidRPr="000F5B11" w:rsidRDefault="004B5060" w:rsidP="004B5060">
            <w:pPr>
              <w:spacing w:after="0" w:line="240" w:lineRule="auto"/>
              <w:rPr>
                <w:color w:val="365F91"/>
              </w:rPr>
            </w:pPr>
          </w:p>
        </w:tc>
        <w:tc>
          <w:tcPr>
            <w:tcW w:w="911" w:type="dxa"/>
            <w:tcBorders>
              <w:left w:val="nil"/>
              <w:right w:val="nil"/>
            </w:tcBorders>
            <w:shd w:val="clear" w:color="auto" w:fill="D3DFEE"/>
          </w:tcPr>
          <w:p w:rsidR="004B5060" w:rsidRPr="000F5B11" w:rsidRDefault="004B5060" w:rsidP="004B5060">
            <w:pPr>
              <w:spacing w:after="0" w:line="240" w:lineRule="auto"/>
              <w:rPr>
                <w:color w:val="365F91"/>
              </w:rPr>
            </w:pPr>
          </w:p>
        </w:tc>
        <w:tc>
          <w:tcPr>
            <w:tcW w:w="911" w:type="dxa"/>
            <w:tcBorders>
              <w:left w:val="nil"/>
              <w:right w:val="nil"/>
            </w:tcBorders>
            <w:shd w:val="clear" w:color="auto" w:fill="D3DFEE"/>
          </w:tcPr>
          <w:p w:rsidR="004B5060" w:rsidRPr="000F5B11" w:rsidRDefault="004B5060" w:rsidP="004B5060">
            <w:pPr>
              <w:spacing w:after="0" w:line="240" w:lineRule="auto"/>
              <w:rPr>
                <w:color w:val="365F91"/>
              </w:rPr>
            </w:pPr>
          </w:p>
        </w:tc>
        <w:tc>
          <w:tcPr>
            <w:tcW w:w="906" w:type="dxa"/>
            <w:tcBorders>
              <w:left w:val="nil"/>
              <w:right w:val="nil"/>
            </w:tcBorders>
            <w:shd w:val="clear" w:color="auto" w:fill="D3DFEE"/>
          </w:tcPr>
          <w:p w:rsidR="004B5060" w:rsidRPr="000F5B11" w:rsidRDefault="004B5060" w:rsidP="004B5060">
            <w:pPr>
              <w:spacing w:after="0" w:line="240" w:lineRule="auto"/>
              <w:rPr>
                <w:color w:val="365F91"/>
              </w:rPr>
            </w:pPr>
          </w:p>
        </w:tc>
        <w:tc>
          <w:tcPr>
            <w:tcW w:w="906" w:type="dxa"/>
            <w:tcBorders>
              <w:left w:val="nil"/>
              <w:right w:val="nil"/>
            </w:tcBorders>
            <w:shd w:val="clear" w:color="auto" w:fill="D3DFEE"/>
          </w:tcPr>
          <w:p w:rsidR="004B5060" w:rsidRPr="000F5B11" w:rsidRDefault="004B5060" w:rsidP="004B5060">
            <w:pPr>
              <w:spacing w:after="0" w:line="240" w:lineRule="auto"/>
              <w:rPr>
                <w:color w:val="365F91"/>
              </w:rPr>
            </w:pPr>
          </w:p>
        </w:tc>
        <w:tc>
          <w:tcPr>
            <w:tcW w:w="1111" w:type="dxa"/>
            <w:tcBorders>
              <w:left w:val="nil"/>
              <w:right w:val="nil"/>
            </w:tcBorders>
            <w:shd w:val="clear" w:color="auto" w:fill="D3DFEE"/>
          </w:tcPr>
          <w:p w:rsidR="004B5060" w:rsidRPr="000F5B11" w:rsidRDefault="004B5060" w:rsidP="004B5060">
            <w:pPr>
              <w:spacing w:after="0" w:line="240" w:lineRule="auto"/>
              <w:rPr>
                <w:color w:val="365F91"/>
              </w:rPr>
            </w:pPr>
          </w:p>
        </w:tc>
        <w:tc>
          <w:tcPr>
            <w:tcW w:w="906" w:type="dxa"/>
            <w:tcBorders>
              <w:left w:val="nil"/>
              <w:right w:val="nil"/>
            </w:tcBorders>
            <w:shd w:val="clear" w:color="auto" w:fill="D3DFEE"/>
          </w:tcPr>
          <w:p w:rsidR="004B5060" w:rsidRPr="000F5B11" w:rsidRDefault="004B5060" w:rsidP="004B5060">
            <w:pPr>
              <w:spacing w:after="0" w:line="240" w:lineRule="auto"/>
              <w:rPr>
                <w:color w:val="365F91"/>
              </w:rPr>
            </w:pPr>
          </w:p>
        </w:tc>
        <w:tc>
          <w:tcPr>
            <w:tcW w:w="907" w:type="dxa"/>
            <w:tcBorders>
              <w:left w:val="nil"/>
              <w:right w:val="nil"/>
            </w:tcBorders>
            <w:shd w:val="clear" w:color="auto" w:fill="D3DFEE"/>
          </w:tcPr>
          <w:p w:rsidR="004B5060" w:rsidRPr="000F5B11" w:rsidRDefault="004B5060" w:rsidP="004B5060">
            <w:pPr>
              <w:spacing w:after="0" w:line="240" w:lineRule="auto"/>
              <w:rPr>
                <w:color w:val="365F91"/>
              </w:rPr>
            </w:pPr>
          </w:p>
        </w:tc>
        <w:tc>
          <w:tcPr>
            <w:tcW w:w="907" w:type="dxa"/>
            <w:tcBorders>
              <w:left w:val="nil"/>
              <w:right w:val="nil"/>
            </w:tcBorders>
            <w:shd w:val="clear" w:color="auto" w:fill="D3DFEE"/>
          </w:tcPr>
          <w:p w:rsidR="004B5060" w:rsidRPr="000F5B11" w:rsidRDefault="004B5060" w:rsidP="004B5060">
            <w:pPr>
              <w:spacing w:after="0" w:line="240" w:lineRule="auto"/>
              <w:rPr>
                <w:color w:val="365F91"/>
              </w:rPr>
            </w:pPr>
          </w:p>
        </w:tc>
      </w:tr>
    </w:tbl>
    <w:p w:rsidR="004B5060" w:rsidRPr="00590D1E" w:rsidRDefault="004B5060">
      <w:r>
        <w:tab/>
      </w:r>
      <w:r w:rsidRPr="00590D1E">
        <w:t xml:space="preserve"> </w:t>
      </w:r>
    </w:p>
    <w:p w:rsidR="004B5060" w:rsidRDefault="004B5060">
      <w:pPr>
        <w:rPr>
          <w:b/>
          <w:sz w:val="24"/>
          <w:szCs w:val="24"/>
        </w:rPr>
      </w:pPr>
      <w:r w:rsidRPr="00691FFE">
        <w:rPr>
          <w:b/>
          <w:sz w:val="24"/>
          <w:szCs w:val="24"/>
        </w:rPr>
        <w:t>Objectifs pédagogiques :</w:t>
      </w:r>
    </w:p>
    <w:p w:rsidR="004B5060" w:rsidRDefault="004B5060" w:rsidP="004B5060">
      <w:pPr>
        <w:spacing w:after="0" w:line="240" w:lineRule="auto"/>
      </w:pPr>
      <w:r w:rsidRPr="00FF2BC2">
        <w:rPr>
          <w:bCs/>
        </w:rPr>
        <w:t xml:space="preserve">Connaître </w:t>
      </w:r>
      <w:r>
        <w:rPr>
          <w:bCs/>
        </w:rPr>
        <w:t xml:space="preserve">la nature et le fonctionnement du système immunitaire </w:t>
      </w:r>
      <w:r>
        <w:t>de façon à mettre en œuvre les principales démarches diagnostiques, de prévention et du suivi des pathologies.</w:t>
      </w:r>
    </w:p>
    <w:p w:rsidR="004B5060" w:rsidRPr="00FF2BC2" w:rsidRDefault="004B5060" w:rsidP="004B5060">
      <w:pPr>
        <w:spacing w:after="0" w:line="240" w:lineRule="auto"/>
        <w:rPr>
          <w:bCs/>
        </w:rPr>
      </w:pPr>
      <w:r w:rsidRPr="00FF2BC2">
        <w:rPr>
          <w:bCs/>
        </w:rPr>
        <w:t>Connaître les relations hôte-agents infectieu</w:t>
      </w:r>
      <w:r>
        <w:rPr>
          <w:bCs/>
        </w:rPr>
        <w:t>x.</w:t>
      </w:r>
    </w:p>
    <w:p w:rsidR="004B5060" w:rsidRPr="00181E71" w:rsidRDefault="004B5060" w:rsidP="004B5060">
      <w:pPr>
        <w:spacing w:beforeLines="1" w:afterLines="1" w:line="240" w:lineRule="auto"/>
        <w:outlineLvl w:val="3"/>
        <w:rPr>
          <w:szCs w:val="20"/>
          <w:lang w:eastAsia="fr-FR"/>
        </w:rPr>
      </w:pPr>
      <w:r w:rsidRPr="00181E71">
        <w:rPr>
          <w:szCs w:val="20"/>
          <w:lang w:eastAsia="fr-FR"/>
        </w:rPr>
        <w:t xml:space="preserve">Ces objectifs permettent aux étudiants pharmaciens d'avoir un recul suffisant sur la physiologie immune normale et anormale, pour aborder l'enseignement </w:t>
      </w:r>
      <w:r>
        <w:rPr>
          <w:szCs w:val="20"/>
          <w:lang w:eastAsia="fr-FR"/>
        </w:rPr>
        <w:t>de 3 et 4</w:t>
      </w:r>
      <w:r w:rsidRPr="00181E71">
        <w:rPr>
          <w:szCs w:val="20"/>
          <w:vertAlign w:val="superscript"/>
          <w:lang w:eastAsia="fr-FR"/>
        </w:rPr>
        <w:t>ième</w:t>
      </w:r>
      <w:r>
        <w:rPr>
          <w:szCs w:val="20"/>
          <w:lang w:eastAsia="fr-FR"/>
        </w:rPr>
        <w:t xml:space="preserve"> année et de </w:t>
      </w:r>
      <w:r w:rsidRPr="00181E71">
        <w:rPr>
          <w:szCs w:val="20"/>
          <w:lang w:eastAsia="fr-FR"/>
        </w:rPr>
        <w:t xml:space="preserve">troisième cycle </w:t>
      </w:r>
      <w:r>
        <w:rPr>
          <w:szCs w:val="20"/>
          <w:lang w:eastAsia="fr-FR"/>
        </w:rPr>
        <w:t xml:space="preserve">et </w:t>
      </w:r>
      <w:r w:rsidRPr="00181E71">
        <w:t xml:space="preserve">pour envisager éventuellement une carrière dans ce domaine (hôpital, recherche ou industrie). </w:t>
      </w:r>
    </w:p>
    <w:p w:rsidR="004B5060" w:rsidRPr="00181E71" w:rsidRDefault="004B5060" w:rsidP="004B5060">
      <w:pPr>
        <w:spacing w:beforeLines="1" w:afterLines="1" w:line="240" w:lineRule="auto"/>
        <w:rPr>
          <w:szCs w:val="20"/>
          <w:lang w:eastAsia="fr-FR"/>
        </w:rPr>
      </w:pPr>
    </w:p>
    <w:p w:rsidR="004B5060" w:rsidRPr="00691FFE" w:rsidRDefault="004B5060">
      <w:pPr>
        <w:rPr>
          <w:b/>
          <w:sz w:val="24"/>
          <w:szCs w:val="24"/>
        </w:rPr>
      </w:pPr>
      <w:r w:rsidRPr="00691FFE">
        <w:rPr>
          <w:b/>
          <w:sz w:val="24"/>
          <w:szCs w:val="24"/>
        </w:rPr>
        <w:t>Descriptifs des enseignements, des intervenants et découpage horaire</w:t>
      </w:r>
    </w:p>
    <w:p w:rsidR="004B5060" w:rsidRDefault="004B5060">
      <w:r w:rsidRPr="0096220D">
        <w:rPr>
          <w:i/>
        </w:rPr>
        <w:t>Descriptifs des enseignements</w:t>
      </w:r>
    </w:p>
    <w:p w:rsidR="004B5060" w:rsidRPr="0096220D" w:rsidRDefault="004B5060">
      <w:r>
        <w:t>L'enseignement d’Immunologie générale de S4 vise à une connaissance générale des structures et des mécanismes de l'immunité. Le module effectue d'abord les rappels des enseignements du secondaire, synthétise les éléments principaux de la réponse immune innée et adaptative, et présente une analyse plus complète de la réaction antigène-anticorps; il comprend des Travaux Dirigés (9h) et des Travaux Pratiques de Sérologie (6h TP). Le module se poursuit par une étude dynamique des mécanismes immuns, de leur régulation et de leur mise en place, pour préparer à la réflexion sur les mécanismes protecteurs et les dysfonctionnements de l'immunité. L'apprentissage comprend 6 séances de TD.</w:t>
      </w:r>
    </w:p>
    <w:p w:rsidR="004B5060" w:rsidRPr="0096220D" w:rsidRDefault="004B5060">
      <w:pPr>
        <w:rPr>
          <w:i/>
        </w:rPr>
      </w:pPr>
      <w:r w:rsidRPr="0096220D">
        <w:rPr>
          <w:i/>
        </w:rPr>
        <w:t>Intervenants</w:t>
      </w:r>
    </w:p>
    <w:p w:rsidR="004B5060" w:rsidRDefault="004B5060">
      <w:r>
        <w:t>Pr. Jacques Aubry</w:t>
      </w:r>
    </w:p>
    <w:p w:rsidR="004B5060" w:rsidRDefault="004B5060">
      <w:r>
        <w:t>Dr Stéphane Birklé</w:t>
      </w:r>
    </w:p>
    <w:p w:rsidR="004B5060" w:rsidRPr="0096220D" w:rsidRDefault="004B5060">
      <w:pPr>
        <w:rPr>
          <w:i/>
        </w:rPr>
      </w:pPr>
      <w:r w:rsidRPr="0096220D">
        <w:rPr>
          <w:i/>
        </w:rPr>
        <w:t>Découpage horaire</w:t>
      </w:r>
    </w:p>
    <w:p w:rsidR="004B5060" w:rsidRDefault="004B5060">
      <w:r>
        <w:t>- Cours magistraux : 20 h</w:t>
      </w:r>
    </w:p>
    <w:p w:rsidR="004B5060" w:rsidRDefault="004B5060">
      <w:r>
        <w:t>- Enseignement dirigé : 6h</w:t>
      </w:r>
    </w:p>
    <w:p w:rsidR="004B5060" w:rsidRDefault="004B5060">
      <w:r>
        <w:t>- Travaux pratiques : 6 h</w:t>
      </w:r>
    </w:p>
    <w:p w:rsidR="004B5060" w:rsidRDefault="004B5060">
      <w:pPr>
        <w:rPr>
          <w:b/>
          <w:sz w:val="24"/>
          <w:szCs w:val="24"/>
        </w:rPr>
      </w:pPr>
      <w:r w:rsidRPr="00691FFE">
        <w:rPr>
          <w:b/>
          <w:sz w:val="24"/>
          <w:szCs w:val="24"/>
        </w:rPr>
        <w:lastRenderedPageBreak/>
        <w:t>Modalités d’évaluation</w:t>
      </w:r>
      <w:r>
        <w:rPr>
          <w:b/>
          <w:sz w:val="24"/>
          <w:szCs w:val="24"/>
        </w:rPr>
        <w:t> :</w:t>
      </w:r>
    </w:p>
    <w:p w:rsidR="004B5060" w:rsidRPr="002A359A" w:rsidRDefault="004B5060" w:rsidP="004B5060">
      <w:pPr>
        <w:spacing w:after="0" w:line="240" w:lineRule="auto"/>
        <w:jc w:val="both"/>
        <w:rPr>
          <w:rFonts w:ascii="Arial" w:hAnsi="Arial" w:cs="Arial"/>
        </w:rPr>
      </w:pPr>
      <w:r w:rsidRPr="002A359A">
        <w:rPr>
          <w:rFonts w:ascii="Arial" w:hAnsi="Arial" w:cs="Arial"/>
        </w:rPr>
        <w:t xml:space="preserve">Contrôle continu par QCM, QROC. </w:t>
      </w:r>
    </w:p>
    <w:p w:rsidR="004B5060" w:rsidRDefault="004B5060">
      <w:pPr>
        <w:rPr>
          <w:b/>
        </w:rPr>
      </w:pPr>
      <w:r>
        <w:rPr>
          <w:sz w:val="24"/>
          <w:szCs w:val="24"/>
        </w:rPr>
        <w:t>Examen final écrit</w:t>
      </w:r>
    </w:p>
    <w:p w:rsidR="004B5060" w:rsidRDefault="004B5060">
      <w:pPr>
        <w:rPr>
          <w:sz w:val="24"/>
          <w:szCs w:val="24"/>
        </w:rPr>
      </w:pPr>
      <w:r w:rsidRPr="00691FFE">
        <w:rPr>
          <w:b/>
          <w:sz w:val="24"/>
          <w:szCs w:val="24"/>
        </w:rPr>
        <w:t xml:space="preserve">Pré-requis : </w:t>
      </w:r>
    </w:p>
    <w:p w:rsidR="004B5060" w:rsidRPr="00707398" w:rsidRDefault="004B5060" w:rsidP="004B5060">
      <w:pPr>
        <w:rPr>
          <w:b/>
          <w:sz w:val="32"/>
        </w:rPr>
      </w:pPr>
      <w:r>
        <w:rPr>
          <w:rFonts w:ascii="Arial" w:hAnsi="Arial" w:cs="Arial"/>
        </w:rPr>
        <w:t>Biochimie structurale  et métabolique, Biologie moléculaire - génétique : initiation, La cellule et les tissus, Biologie cellulaire</w:t>
      </w:r>
      <w:r w:rsidRPr="002A359A">
        <w:rPr>
          <w:rFonts w:ascii="Arial" w:hAnsi="Arial" w:cs="Arial"/>
        </w:rPr>
        <w:t>,</w:t>
      </w:r>
      <w:r>
        <w:rPr>
          <w:rFonts w:ascii="Arial" w:hAnsi="Arial" w:cs="Arial"/>
        </w:rPr>
        <w:t xml:space="preserve"> Histologie, </w:t>
      </w:r>
      <w:r w:rsidRPr="00240B83">
        <w:rPr>
          <w:b/>
          <w:sz w:val="32"/>
        </w:rPr>
        <w:t xml:space="preserve"> </w:t>
      </w:r>
      <w:r w:rsidRPr="00707398">
        <w:rPr>
          <w:rFonts w:ascii="Arial" w:hAnsi="Arial"/>
        </w:rPr>
        <w:t>Organisation des appareils et des systèmes (2) : Aspects morphologiques et fonctionnels</w:t>
      </w:r>
      <w:r>
        <w:rPr>
          <w:b/>
          <w:sz w:val="32"/>
        </w:rPr>
        <w:t xml:space="preserve"> </w:t>
      </w:r>
      <w:r>
        <w:rPr>
          <w:rFonts w:ascii="Arial" w:hAnsi="Arial" w:cs="Arial"/>
        </w:rPr>
        <w:t>(PACES), P</w:t>
      </w:r>
      <w:r w:rsidRPr="0096220D">
        <w:rPr>
          <w:rFonts w:ascii="Helvetica" w:hAnsi="Helvetica" w:cs="Helvetica"/>
          <w:color w:val="000000"/>
          <w:szCs w:val="13"/>
          <w:lang w:eastAsia="fr-FR"/>
        </w:rPr>
        <w:t>hysiologie des différents systèmes</w:t>
      </w:r>
      <w:r>
        <w:rPr>
          <w:rFonts w:ascii="Helvetica" w:hAnsi="Helvetica" w:cs="Helvetica"/>
          <w:color w:val="000000"/>
          <w:szCs w:val="13"/>
          <w:lang w:eastAsia="fr-FR"/>
        </w:rPr>
        <w:t xml:space="preserve">, </w:t>
      </w:r>
      <w:r w:rsidRPr="0096220D">
        <w:rPr>
          <w:rFonts w:ascii="Helvetica" w:hAnsi="Helvetica" w:cs="Helvetica"/>
          <w:color w:val="000000"/>
          <w:szCs w:val="13"/>
          <w:lang w:eastAsia="fr-FR"/>
        </w:rPr>
        <w:t>comparaison des structures cellulaires</w:t>
      </w:r>
      <w:r>
        <w:rPr>
          <w:rFonts w:ascii="Arial" w:hAnsi="Arial" w:cs="Arial"/>
        </w:rPr>
        <w:t xml:space="preserve">, </w:t>
      </w:r>
      <w:r w:rsidRPr="002A359A">
        <w:rPr>
          <w:rFonts w:ascii="Arial" w:hAnsi="Arial" w:cs="Arial"/>
        </w:rPr>
        <w:t>bases théoriques et formation pratique en techniques de laboratoire</w:t>
      </w:r>
      <w:r>
        <w:rPr>
          <w:rFonts w:ascii="Arial" w:hAnsi="Arial" w:cs="Arial"/>
        </w:rPr>
        <w:t xml:space="preserve"> (S3)</w:t>
      </w:r>
      <w:r w:rsidRPr="002A359A">
        <w:rPr>
          <w:rFonts w:ascii="Arial" w:hAnsi="Arial" w:cs="Arial"/>
        </w:rPr>
        <w:t>.</w:t>
      </w:r>
    </w:p>
    <w:p w:rsidR="004B5060" w:rsidRPr="000E4ED8" w:rsidRDefault="004B5060">
      <w:pPr>
        <w:rPr>
          <w:sz w:val="24"/>
          <w:szCs w:val="24"/>
        </w:rPr>
      </w:pPr>
    </w:p>
    <w:sectPr w:rsidR="004B5060" w:rsidRPr="000E4ED8" w:rsidSect="004B506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84" w:rsidRDefault="00CE6D84" w:rsidP="00C3117C">
      <w:pPr>
        <w:spacing w:after="0" w:line="240" w:lineRule="auto"/>
      </w:pPr>
      <w:r>
        <w:separator/>
      </w:r>
    </w:p>
  </w:endnote>
  <w:endnote w:type="continuationSeparator" w:id="0">
    <w:p w:rsidR="00CE6D84" w:rsidRDefault="00CE6D84" w:rsidP="00C31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84" w:rsidRDefault="00CE6D84" w:rsidP="00C3117C">
      <w:pPr>
        <w:spacing w:after="0" w:line="240" w:lineRule="auto"/>
      </w:pPr>
      <w:r>
        <w:separator/>
      </w:r>
    </w:p>
  </w:footnote>
  <w:footnote w:type="continuationSeparator" w:id="0">
    <w:p w:rsidR="00CE6D84" w:rsidRDefault="00CE6D84" w:rsidP="00C311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7C" w:rsidRDefault="00C3117C" w:rsidP="007916A2">
    <w:pPr>
      <w:pStyle w:val="En-tte"/>
      <w:tabs>
        <w:tab w:val="clear" w:pos="4536"/>
        <w:tab w:val="clear" w:pos="9072"/>
        <w:tab w:val="left" w:pos="7797"/>
      </w:tabs>
    </w:pPr>
    <w:r>
      <w:rPr>
        <w:noProof/>
        <w:lang w:eastAsia="fr-FR"/>
      </w:rPr>
      <w:pict>
        <v:shapetype id="_x0000_t202" coordsize="21600,21600" o:spt="202" path="m,l,21600r21600,l21600,xe">
          <v:stroke joinstyle="miter"/>
          <v:path gradientshapeok="t" o:connecttype="rect"/>
        </v:shapetype>
        <v:shape id="_x0000_s3074" type="#_x0000_t202" style="position:absolute;margin-left:432.35pt;margin-top:14.2pt;width:60.8pt;height:27.6pt;z-index:251661312" stroked="f">
          <v:textbox>
            <w:txbxContent>
              <w:p w:rsidR="00C3117C" w:rsidRPr="004C5115" w:rsidRDefault="00C3117C">
                <w:pPr>
                  <w:rPr>
                    <w:sz w:val="12"/>
                  </w:rPr>
                </w:pPr>
                <w:r w:rsidRPr="004C5115">
                  <w:rPr>
                    <w:sz w:val="16"/>
                  </w:rPr>
                  <w:t>Mise à jour le 17/01/2013</w:t>
                </w:r>
              </w:p>
            </w:txbxContent>
          </v:textbox>
        </v:shape>
      </w:pict>
    </w:r>
    <w:r>
      <w:rPr>
        <w:noProof/>
        <w:lang w:eastAsia="fr-FR"/>
      </w:rPr>
      <w:pict>
        <v:shape id="_x0000_s3073" type="#_x0000_t202" style="position:absolute;margin-left:303.15pt;margin-top:1.8pt;width:88.8pt;height:40pt;z-index:251660288" stroked="f">
          <v:textbox>
            <w:txbxContent>
              <w:p w:rsidR="00C3117C" w:rsidRPr="007916A2" w:rsidRDefault="00C3117C">
                <w:pPr>
                  <w:rPr>
                    <w:color w:val="17365D" w:themeColor="text2" w:themeShade="BF"/>
                    <w:sz w:val="18"/>
                  </w:rPr>
                </w:pPr>
                <w:r w:rsidRPr="007916A2">
                  <w:rPr>
                    <w:rFonts w:ascii="Arial" w:hAnsi="Arial" w:cs="Arial"/>
                    <w:noProof/>
                    <w:color w:val="17365D" w:themeColor="text2" w:themeShade="BF"/>
                    <w:sz w:val="16"/>
                    <w:lang w:eastAsia="fr-FR"/>
                  </w:rPr>
                  <w:t>UFR des Sciences Pharmaceutiques et Biologiques</w:t>
                </w:r>
              </w:p>
            </w:txbxContent>
          </v:textbox>
        </v:shape>
      </w:pict>
    </w:r>
    <w:r>
      <w:rPr>
        <w:noProof/>
        <w:lang w:eastAsia="fr-FR"/>
      </w:rPr>
      <w:drawing>
        <wp:inline distT="0" distB="0" distL="0" distR="0">
          <wp:extent cx="1017852" cy="552450"/>
          <wp:effectExtent l="19050" t="0" r="0" b="0"/>
          <wp:docPr id="1" name="Image 0" descr="logo un2011quadri_larg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2011quadri_larg100.png"/>
                  <pic:cNvPicPr/>
                </pic:nvPicPr>
                <pic:blipFill>
                  <a:blip r:embed="rId1"/>
                  <a:stretch>
                    <a:fillRect/>
                  </a:stretch>
                </pic:blipFill>
                <pic:spPr>
                  <a:xfrm>
                    <a:off x="0" y="0"/>
                    <a:ext cx="1018450" cy="552775"/>
                  </a:xfrm>
                  <a:prstGeom prst="rect">
                    <a:avLst/>
                  </a:prstGeom>
                </pic:spPr>
              </pic:pic>
            </a:graphicData>
          </a:graphic>
        </wp:inline>
      </w:drawing>
    </w:r>
    <w:r>
      <w:rPr>
        <w:noProof/>
        <w:lang w:eastAsia="fr-FR"/>
      </w:rPr>
      <w:t xml:space="preserve">  </w:t>
    </w:r>
    <w:r>
      <w:rPr>
        <w:noProof/>
        <w:lang w:eastAsia="fr-FR"/>
      </w:rPr>
      <w:tab/>
    </w:r>
    <w:r>
      <w:rPr>
        <w:noProof/>
        <w:lang w:eastAsia="fr-FR"/>
      </w:rPr>
      <w:drawing>
        <wp:inline distT="0" distB="0" distL="0" distR="0">
          <wp:extent cx="450056" cy="571500"/>
          <wp:effectExtent l="19050" t="0" r="7144" b="0"/>
          <wp:docPr id="5" name="Image 2" descr="Logo phar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arma-1.jpg"/>
                  <pic:cNvPicPr/>
                </pic:nvPicPr>
                <pic:blipFill>
                  <a:blip r:embed="rId2"/>
                  <a:stretch>
                    <a:fillRect/>
                  </a:stretch>
                </pic:blipFill>
                <pic:spPr>
                  <a:xfrm>
                    <a:off x="0" y="0"/>
                    <a:ext cx="450056" cy="571500"/>
                  </a:xfrm>
                  <a:prstGeom prst="rect">
                    <a:avLst/>
                  </a:prstGeom>
                </pic:spPr>
              </pic:pic>
            </a:graphicData>
          </a:graphic>
        </wp:inline>
      </w:drawing>
    </w:r>
  </w:p>
  <w:p w:rsidR="00C3117C" w:rsidRDefault="00C3117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269F9"/>
    <w:multiLevelType w:val="hybridMultilevel"/>
    <w:tmpl w:val="8E6C273C"/>
    <w:lvl w:ilvl="0" w:tplc="79C883A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90D1E"/>
    <w:rsid w:val="004B5060"/>
    <w:rsid w:val="005F16D0"/>
    <w:rsid w:val="00717388"/>
    <w:rsid w:val="00863C96"/>
    <w:rsid w:val="00C3117C"/>
    <w:rsid w:val="00CE6D84"/>
    <w:rsid w:val="00DF05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21E12"/>
    <w:pPr>
      <w:spacing w:after="200" w:line="276" w:lineRule="auto"/>
    </w:pPr>
    <w:rPr>
      <w:sz w:val="22"/>
      <w:szCs w:val="22"/>
      <w:lang w:eastAsia="en-US"/>
    </w:rPr>
  </w:style>
  <w:style w:type="paragraph" w:styleId="Titre4">
    <w:name w:val="heading 4"/>
    <w:basedOn w:val="Normal"/>
    <w:link w:val="Titre4Car"/>
    <w:uiPriority w:val="9"/>
    <w:qFormat/>
    <w:rsid w:val="00FF2BC2"/>
    <w:pPr>
      <w:spacing w:beforeLines="1" w:afterLines="1" w:line="240" w:lineRule="auto"/>
      <w:outlineLvl w:val="3"/>
    </w:pPr>
    <w:rPr>
      <w:rFonts w:ascii="Times" w:hAnsi="Times"/>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4B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
    <w:name w:val="Light Shading"/>
    <w:basedOn w:val="TableauNormal"/>
    <w:uiPriority w:val="60"/>
    <w:rsid w:val="00684B6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itationintense">
    <w:name w:val="Intense Quote"/>
    <w:basedOn w:val="TableauNormal"/>
    <w:uiPriority w:val="60"/>
    <w:qFormat/>
    <w:rsid w:val="00684B6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moyenne3-Accent2">
    <w:name w:val="Medium Grid 3 Accent 2"/>
    <w:basedOn w:val="TableauNormal"/>
    <w:uiPriority w:val="60"/>
    <w:rsid w:val="00684B6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llemoyenne3-Accent3">
    <w:name w:val="Medium Grid 3 Accent 3"/>
    <w:basedOn w:val="TableauNormal"/>
    <w:uiPriority w:val="60"/>
    <w:rsid w:val="00684B6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llemoyenne3-Accent5">
    <w:name w:val="Medium Grid 3 Accent 5"/>
    <w:basedOn w:val="TableauNormal"/>
    <w:uiPriority w:val="60"/>
    <w:rsid w:val="00684B6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Titre4Car">
    <w:name w:val="Titre 4 Car"/>
    <w:basedOn w:val="Policepardfaut"/>
    <w:link w:val="Titre4"/>
    <w:uiPriority w:val="9"/>
    <w:rsid w:val="00FF2BC2"/>
    <w:rPr>
      <w:rFonts w:ascii="Times" w:hAnsi="Times"/>
      <w:b/>
      <w:sz w:val="24"/>
    </w:rPr>
  </w:style>
  <w:style w:type="paragraph" w:styleId="NormalWeb">
    <w:name w:val="Normal (Web)"/>
    <w:basedOn w:val="Normal"/>
    <w:uiPriority w:val="99"/>
    <w:rsid w:val="00FF2BC2"/>
    <w:pPr>
      <w:spacing w:beforeLines="1" w:afterLines="1" w:line="240" w:lineRule="auto"/>
    </w:pPr>
    <w:rPr>
      <w:rFonts w:ascii="Times" w:hAnsi="Times"/>
      <w:sz w:val="20"/>
      <w:szCs w:val="20"/>
      <w:lang w:eastAsia="fr-FR"/>
    </w:rPr>
  </w:style>
  <w:style w:type="paragraph" w:styleId="En-tte">
    <w:name w:val="header"/>
    <w:basedOn w:val="Normal"/>
    <w:link w:val="En-tteCar"/>
    <w:uiPriority w:val="99"/>
    <w:rsid w:val="00C3117C"/>
    <w:pPr>
      <w:tabs>
        <w:tab w:val="center" w:pos="4536"/>
        <w:tab w:val="right" w:pos="9072"/>
      </w:tabs>
      <w:spacing w:after="0" w:line="240" w:lineRule="auto"/>
    </w:pPr>
  </w:style>
  <w:style w:type="character" w:customStyle="1" w:styleId="En-tteCar">
    <w:name w:val="En-tête Car"/>
    <w:basedOn w:val="Policepardfaut"/>
    <w:link w:val="En-tte"/>
    <w:uiPriority w:val="99"/>
    <w:rsid w:val="00C3117C"/>
    <w:rPr>
      <w:sz w:val="22"/>
      <w:szCs w:val="22"/>
      <w:lang w:eastAsia="en-US"/>
    </w:rPr>
  </w:style>
  <w:style w:type="paragraph" w:styleId="Pieddepage">
    <w:name w:val="footer"/>
    <w:basedOn w:val="Normal"/>
    <w:link w:val="PieddepageCar"/>
    <w:rsid w:val="00C3117C"/>
    <w:pPr>
      <w:tabs>
        <w:tab w:val="center" w:pos="4536"/>
        <w:tab w:val="right" w:pos="9072"/>
      </w:tabs>
      <w:spacing w:after="0" w:line="240" w:lineRule="auto"/>
    </w:pPr>
  </w:style>
  <w:style w:type="character" w:customStyle="1" w:styleId="PieddepageCar">
    <w:name w:val="Pied de page Car"/>
    <w:basedOn w:val="Policepardfaut"/>
    <w:link w:val="Pieddepage"/>
    <w:rsid w:val="00C3117C"/>
    <w:rPr>
      <w:sz w:val="22"/>
      <w:szCs w:val="22"/>
      <w:lang w:eastAsia="en-US"/>
    </w:rPr>
  </w:style>
  <w:style w:type="paragraph" w:styleId="Textedebulles">
    <w:name w:val="Balloon Text"/>
    <w:basedOn w:val="Normal"/>
    <w:link w:val="TextedebullesCar"/>
    <w:rsid w:val="00C311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C3117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402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1815</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2011-03-25T15:03:00Z</cp:lastPrinted>
  <dcterms:created xsi:type="dcterms:W3CDTF">2013-01-18T14:36:00Z</dcterms:created>
  <dcterms:modified xsi:type="dcterms:W3CDTF">2013-01-18T14:43:00Z</dcterms:modified>
</cp:coreProperties>
</file>